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drawing>
          <wp:anchor distT="0" distB="0" distL="0" distR="0" simplePos="0" allowOverlap="1" behindDoc="0" locked="0" layoutInCell="1" relativeHeight="304800">
            <wp:simplePos x="0" y="0"/>
            <wp:positionH relativeFrom="page">
              <wp:align>right</wp:align>
            </wp:positionH>
            <wp:positionV relativeFrom="page">
              <wp:posOffset>457200</wp:posOffset>
            </wp:positionV>
            <wp:extent cx="1333500" cy="3048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333500" cy="304800"/>
                    </a:xfrm>
                    <a:prstGeom prst="rect">
                      <a:avLst/>
                    </a:prstGeom>
                  </pic:spPr>
                </pic:pic>
              </a:graphicData>
            </a:graphic>
          </wp:anchor>
        </w:drawing>
      </w:r>
    </w:p>
    <w:p>
      <w:pPr>
        <w:spacing w:after="60" w:before="0"/>
      </w:pPr>
      <w:r>
        <w:rPr>
          <w:rFonts w:ascii="Palatino Linotype" w:cs="Palatino Linotype" w:eastAsia="Palatino Linotype" w:hAnsi="Palatino Linotype"/>
          <w:i/>
          <w:iCs/>
          <w:sz w:val="20"/>
          <w:szCs w:val="20"/>
        </w:rPr>
        <w:t xml:space="preserve">Research Paper</w:t>
      </w:r>
    </w:p>
    <w:p>
      <w:pPr>
        <w:spacing w:after="240" w:before="60"/>
      </w:pPr>
      <w:r>
        <w:rPr>
          <w:rFonts w:ascii="Palatino Linotype" w:cs="Palatino Linotype" w:eastAsia="Palatino Linotype" w:hAnsi="Palatino Linotype"/>
          <w:b/>
          <w:bCs/>
          <w:sz w:val="36"/>
          <w:szCs w:val="36"/>
        </w:rPr>
        <w:t xml:space="preserve">A Study of ESG Reporting in Indian Power Companies: SRMM-based Assessment of BRSR</w:t>
      </w:r>
    </w:p>
    <w:p>
      <w:pPr>
        <w:spacing w:after="200" w:before="0"/>
      </w:pPr>
      <w:r>
        <w:rPr>
          <w:rFonts w:ascii="Palatino Linotype" w:cs="Palatino Linotype" w:eastAsia="Palatino Linotype" w:hAnsi="Palatino Linotype"/>
          <w:b/>
          <w:bCs/>
          <w:sz w:val="22"/>
          <w:szCs w:val="22"/>
        </w:rPr>
        <w:t xml:space="preserve">Iragavarapu Lakshmi Prasanna </w:t>
      </w:r>
      <w:r>
        <w:rPr>
          <w:rFonts w:ascii="Palatino Linotype" w:cs="Palatino Linotype" w:eastAsia="Palatino Linotype" w:hAnsi="Palatino Linotype"/>
          <w:b/>
          <w:bCs/>
          <w:sz w:val="16"/>
          <w:szCs w:val="16"/>
          <w:vertAlign w:val="superscript"/>
        </w:rPr>
        <w:t xml:space="preserve">1*</w:t>
      </w:r>
      <w:r>
        <w:rPr>
          <w:rFonts w:ascii="Palatino Linotype" w:cs="Palatino Linotype" w:eastAsia="Palatino Linotype" w:hAnsi="Palatino Linotype"/>
          <w:b/>
          <w:bCs/>
          <w:sz w:val="22"/>
          <w:szCs w:val="22"/>
        </w:rPr>
        <w:t xml:space="preserve"> and Kamakula Madhu Kishore Raghunath</w:t>
      </w:r>
      <w:r>
        <w:rPr>
          <w:rFonts w:ascii="Palatino Linotype" w:cs="Palatino Linotype" w:eastAsia="Palatino Linotype" w:hAnsi="Palatino Linotype"/>
          <w:b/>
          <w:bCs/>
          <w:sz w:val="16"/>
          <w:szCs w:val="16"/>
          <w:vertAlign w:val="superscript"/>
        </w:rPr>
        <w:t xml:space="preserve">2</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200"/>
        <w:gridCol w:w="7160"/>
      </w:tblGrid>
      <w:tr>
        <w:tc>
          <w:tcPr>
            <w:tcW w:type="dxa" w:w="2200"/>
            <w:tcBorders>
              <w:top w:val="none" w:sz="0"/>
              <w:left w:val="none" w:sz="0"/>
              <w:bottom w:val="none" w:sz="0"/>
              <w:right w:val="none" w:sz="0"/>
            </w:tcBorders>
            <w:tcMar>
              <w:top w:type="dxa" w:w="0"/>
              <w:left w:type="dxa" w:w="0"/>
              <w:bottom w:type="dxa" w:w="0"/>
              <w:right w:type="dxa" w:w="200"/>
            </w:tcMar>
            <w:vAlign w:val="top"/>
          </w:tcPr>
          <w:p>
            <w:pPr>
              <w:spacing w:after="0" w:before="0"/>
            </w:pPr>
            <w:r>
              <w:t xml:space="preserve"/>
            </w:r>
          </w:p>
          <w:p>
            <w:pPr>
              <w:spacing w:after="80" w:before="0" w:line="240"/>
              <w:jc w:val="left"/>
            </w:pPr>
            <w:r>
              <w:rPr>
                <w:rFonts w:ascii="Palatino Linotype" w:cs="Palatino Linotype" w:eastAsia="Palatino Linotype" w:hAnsi="Palatino Linotype"/>
                <w:b w:val="false"/>
                <w:bCs w:val="false"/>
                <w:i w:val="false"/>
                <w:iCs w:val="false"/>
                <w:color w:val="000000"/>
                <w:sz w:val="14"/>
                <w:szCs w:val="14"/>
              </w:rPr>
              <w:t xml:space="preserve">Received:</w:t>
            </w:r>
            <w:r>
              <w:rPr>
                <w:rFonts w:ascii="Palatino Linotype" w:cs="Palatino Linotype" w:eastAsia="Palatino Linotype" w:hAnsi="Palatino Linotype"/>
                <w:b w:val="false"/>
                <w:bCs w:val="false"/>
                <w:i w:val="false"/>
                <w:iCs w:val="false"/>
                <w:color w:val="000000"/>
                <w:sz w:val="14"/>
                <w:szCs w:val="14"/>
              </w:rPr>
              <w:t xml:space="preserve"> 15/05/2025</w:t>
            </w:r>
          </w:p>
          <w:p>
            <w:pPr>
              <w:spacing w:after="80" w:before="0" w:line="240"/>
              <w:jc w:val="left"/>
            </w:pPr>
            <w:r>
              <w:rPr>
                <w:rFonts w:ascii="Palatino Linotype" w:cs="Palatino Linotype" w:eastAsia="Palatino Linotype" w:hAnsi="Palatino Linotype"/>
                <w:b w:val="false"/>
                <w:bCs w:val="false"/>
                <w:i w:val="false"/>
                <w:iCs w:val="false"/>
                <w:color w:val="000000"/>
                <w:sz w:val="14"/>
                <w:szCs w:val="14"/>
              </w:rPr>
              <w:t xml:space="preserve">Revised:</w:t>
            </w:r>
            <w:r>
              <w:rPr>
                <w:rFonts w:ascii="Palatino Linotype" w:cs="Palatino Linotype" w:eastAsia="Palatino Linotype" w:hAnsi="Palatino Linotype"/>
                <w:b w:val="false"/>
                <w:bCs w:val="false"/>
                <w:i w:val="false"/>
                <w:iCs w:val="false"/>
                <w:color w:val="000000"/>
                <w:sz w:val="14"/>
                <w:szCs w:val="14"/>
              </w:rPr>
              <w:t xml:space="preserve"> 30/06/2025</w:t>
            </w:r>
          </w:p>
          <w:p>
            <w:pPr>
              <w:spacing w:after="80" w:before="0" w:line="240"/>
              <w:jc w:val="left"/>
            </w:pPr>
            <w:r>
              <w:rPr>
                <w:rFonts w:ascii="Palatino Linotype" w:cs="Palatino Linotype" w:eastAsia="Palatino Linotype" w:hAnsi="Palatino Linotype"/>
                <w:b w:val="false"/>
                <w:bCs w:val="false"/>
                <w:i w:val="false"/>
                <w:iCs w:val="false"/>
                <w:color w:val="000000"/>
                <w:sz w:val="14"/>
                <w:szCs w:val="14"/>
              </w:rPr>
              <w:t xml:space="preserve">Accepted:</w:t>
            </w:r>
            <w:r>
              <w:rPr>
                <w:rFonts w:ascii="Palatino Linotype" w:cs="Palatino Linotype" w:eastAsia="Palatino Linotype" w:hAnsi="Palatino Linotype"/>
                <w:b w:val="false"/>
                <w:bCs w:val="false"/>
                <w:i w:val="false"/>
                <w:iCs w:val="false"/>
                <w:color w:val="000000"/>
                <w:sz w:val="14"/>
                <w:szCs w:val="14"/>
              </w:rPr>
              <w:t xml:space="preserve"> 15/07/2025</w:t>
            </w:r>
          </w:p>
          <w:p>
            <w:pPr>
              <w:spacing w:after="80" w:before="0" w:line="240"/>
              <w:jc w:val="left"/>
            </w:pPr>
            <w:r>
              <w:rPr>
                <w:rFonts w:ascii="Palatino Linotype" w:cs="Palatino Linotype" w:eastAsia="Palatino Linotype" w:hAnsi="Palatino Linotype"/>
                <w:b w:val="false"/>
                <w:bCs w:val="false"/>
                <w:i w:val="false"/>
                <w:iCs w:val="false"/>
                <w:color w:val="000000"/>
                <w:sz w:val="14"/>
                <w:szCs w:val="14"/>
              </w:rPr>
              <w:t xml:space="preserve">Published:</w:t>
            </w:r>
            <w:r>
              <w:rPr>
                <w:rFonts w:ascii="Palatino Linotype" w:cs="Palatino Linotype" w:eastAsia="Palatino Linotype" w:hAnsi="Palatino Linotype"/>
                <w:b w:val="false"/>
                <w:bCs w:val="false"/>
                <w:i w:val="false"/>
                <w:iCs w:val="false"/>
                <w:color w:val="000000"/>
                <w:sz w:val="14"/>
                <w:szCs w:val="14"/>
              </w:rPr>
              <w:t xml:space="preserve"> 31/07/2025</w:t>
            </w:r>
          </w:p>
          <w:p>
            <w:pPr>
              <w:spacing w:after="0" w:before="100"/>
            </w:pPr>
            <w:r>
              <w:t xml:space="preserve"/>
            </w:r>
          </w:p>
          <w:p>
            <w:pPr>
              <w:spacing w:after="80" w:before="0" w:line="240"/>
              <w:jc w:val="left"/>
            </w:pPr>
            <w:r>
              <w:rPr>
                <w:rFonts w:ascii="Palatino Linotype" w:cs="Palatino Linotype" w:eastAsia="Palatino Linotype" w:hAnsi="Palatino Linotype"/>
                <w:b/>
                <w:bCs/>
                <w:i w:val="false"/>
                <w:iCs w:val="false"/>
                <w:color w:val="000000"/>
                <w:sz w:val="14"/>
                <w:szCs w:val="14"/>
              </w:rPr>
              <w:t xml:space="preserve">Citation: </w:t>
            </w:r>
            <w:r>
              <w:rPr>
                <w:rFonts w:ascii="Palatino Linotype" w:cs="Palatino Linotype" w:eastAsia="Palatino Linotype" w:hAnsi="Palatino Linotype"/>
                <w:b w:val="false"/>
                <w:bCs w:val="false"/>
                <w:i w:val="false"/>
                <w:iCs w:val="false"/>
                <w:color w:val="000000"/>
                <w:sz w:val="14"/>
                <w:szCs w:val="14"/>
              </w:rPr>
              <w:t xml:space="preserve">Lakshmi Prasanna, I., &amp; Madhu Kishore Raghunath, K. (2025). A Study of ESG Reporting in Indian Power Companies: SRMM-based Assessment of BRSR. Sustainability Review, 1(2). </w:t>
            </w:r>
          </w:p>
          <w:p>
            <w:pPr>
              <w:spacing w:after="0" w:before="80"/>
            </w:pPr>
            <w:r>
              <w:t xml:space="preserve"/>
            </w:r>
          </w:p>
          <w:p>
            <w:pPr>
              <w:spacing w:after="80" w:before="0" w:line="240"/>
              <w:jc w:val="left"/>
            </w:pPr>
            <w:r>
              <w:rPr>
                <w:rFonts w:ascii="Palatino Linotype" w:cs="Palatino Linotype" w:eastAsia="Palatino Linotype" w:hAnsi="Palatino Linotype"/>
                <w:b/>
                <w:bCs/>
                <w:i w:val="false"/>
                <w:iCs w:val="false"/>
                <w:color w:val="000000"/>
                <w:sz w:val="14"/>
                <w:szCs w:val="14"/>
              </w:rPr>
              <w:t xml:space="preserve">Copyright: </w:t>
            </w:r>
            <w:r>
              <w:rPr>
                <w:rFonts w:ascii="Palatino Linotype" w:cs="Palatino Linotype" w:eastAsia="Palatino Linotype" w:hAnsi="Palatino Linotype"/>
                <w:b w:val="false"/>
                <w:bCs w:val="false"/>
                <w:i w:val="false"/>
                <w:iCs w:val="false"/>
                <w:color w:val="000000"/>
                <w:sz w:val="14"/>
                <w:szCs w:val="14"/>
              </w:rPr>
              <w:t xml:space="preserve">© 2025 by the authors.</w:t>
            </w:r>
          </w:p>
        </w:tc>
        <w:tc>
          <w:tcPr>
            <w:tcW w:type="dxa" w:w="7160"/>
            <w:tcBorders>
              <w:top w:val="none" w:sz="0"/>
              <w:left w:val="none" w:sz="0"/>
              <w:bottom w:val="none" w:sz="0"/>
              <w:right w:val="none" w:sz="0"/>
            </w:tcBorders>
            <w:tcMar>
              <w:top w:type="dxa" w:w="0"/>
              <w:left w:type="dxa" w:w="100"/>
              <w:bottom w:type="dxa" w:w="0"/>
              <w:right w:type="dxa" w:w="0"/>
            </w:tcMar>
            <w:vAlign w:val="top"/>
          </w:tcPr>
          <w:p>
            <w:pPr>
              <w:spacing w:after="60" w:before="0" w:line="240"/>
              <w:ind w:left="200" w:hanging="200"/>
            </w:pPr>
            <w:r>
              <w:rPr>
                <w:rFonts w:ascii="Palatino Linotype" w:cs="Palatino Linotype" w:eastAsia="Palatino Linotype" w:hAnsi="Palatino Linotype"/>
                <w:sz w:val="16"/>
                <w:szCs w:val="16"/>
              </w:rPr>
              <w:t xml:space="preserve">1    </w:t>
            </w:r>
            <w:r>
              <w:rPr>
                <w:rFonts w:ascii="Palatino Linotype" w:cs="Palatino Linotype" w:eastAsia="Palatino Linotype" w:hAnsi="Palatino Linotype"/>
                <w:sz w:val="16"/>
                <w:szCs w:val="16"/>
              </w:rPr>
              <w:t xml:space="preserve">Research Scholar, Department of Finance, GITAM School of Business, Gandhi Institute of Technology and Management, deemed to be university, Visakhapatnam, India;</w:t>
            </w:r>
            <w:r>
              <w:rPr>
                <w:rFonts w:ascii="Palatino Linotype" w:cs="Palatino Linotype" w:eastAsia="Palatino Linotype" w:hAnsi="Palatino Linotype"/>
                <w:sz w:val="16"/>
                <w:szCs w:val="16"/>
              </w:rPr>
              <w:t xml:space="preserve"> Email: </w:t>
            </w:r>
            <w:r>
              <w:rPr>
                <w:rFonts w:ascii="Palatino Linotype" w:cs="Palatino Linotype" w:eastAsia="Palatino Linotype" w:hAnsi="Palatino Linotype"/>
                <w:color w:val="0563C1"/>
                <w:sz w:val="16"/>
                <w:szCs w:val="16"/>
                <w:u w:val="single"/>
              </w:rPr>
              <w:t xml:space="preserve">liragava@student.gitam.edu</w:t>
            </w:r>
          </w:p>
          <w:p>
            <w:pPr>
              <w:spacing w:after="60" w:before="0" w:line="240"/>
              <w:ind w:left="200" w:hanging="200"/>
            </w:pPr>
            <w:r>
              <w:rPr>
                <w:rFonts w:ascii="Palatino Linotype" w:cs="Palatino Linotype" w:eastAsia="Palatino Linotype" w:hAnsi="Palatino Linotype"/>
                <w:sz w:val="16"/>
                <w:szCs w:val="16"/>
              </w:rPr>
              <w:t xml:space="preserve">2    </w:t>
            </w:r>
            <w:r>
              <w:rPr>
                <w:rFonts w:ascii="Palatino Linotype" w:cs="Palatino Linotype" w:eastAsia="Palatino Linotype" w:hAnsi="Palatino Linotype"/>
                <w:sz w:val="16"/>
                <w:szCs w:val="16"/>
              </w:rPr>
              <w:t xml:space="preserve">Assistant Professor, Department of Finance, GITAM School of Business, Gandhi Institute of Technology and Management, deemed to be University, Visakhapatnam, India;</w:t>
            </w:r>
            <w:r>
              <w:rPr>
                <w:rFonts w:ascii="Palatino Linotype" w:cs="Palatino Linotype" w:eastAsia="Palatino Linotype" w:hAnsi="Palatino Linotype"/>
                <w:sz w:val="16"/>
                <w:szCs w:val="16"/>
              </w:rPr>
              <w:t xml:space="preserve"> Email: </w:t>
            </w:r>
            <w:r>
              <w:rPr>
                <w:rFonts w:ascii="Palatino Linotype" w:cs="Palatino Linotype" w:eastAsia="Palatino Linotype" w:hAnsi="Palatino Linotype"/>
                <w:color w:val="0563C1"/>
                <w:sz w:val="16"/>
                <w:szCs w:val="16"/>
                <w:u w:val="single"/>
              </w:rPr>
              <w:t xml:space="preserve">mkamakul@gitam.edu</w:t>
            </w:r>
          </w:p>
          <w:p>
            <w:pPr>
              <w:spacing w:after="180" w:before="0" w:line="240"/>
              <w:ind w:left="200" w:hanging="200"/>
            </w:pPr>
            <w:r>
              <w:rPr>
                <w:rFonts w:ascii="Palatino Linotype" w:cs="Palatino Linotype" w:eastAsia="Palatino Linotype" w:hAnsi="Palatino Linotype"/>
                <w:sz w:val="16"/>
                <w:szCs w:val="16"/>
              </w:rPr>
              <w:t xml:space="preserve">*    Correspondence: </w:t>
            </w:r>
            <w:r>
              <w:rPr>
                <w:rFonts w:ascii="Palatino Linotype" w:cs="Palatino Linotype" w:eastAsia="Palatino Linotype" w:hAnsi="Palatino Linotype"/>
                <w:color w:val="0563C1"/>
                <w:sz w:val="16"/>
                <w:szCs w:val="16"/>
                <w:u w:val="single"/>
              </w:rPr>
              <w:t xml:space="preserve">liragava@student.gitam.edu</w:t>
            </w:r>
          </w:p>
          <w:p>
            <w:pPr>
              <w:spacing w:after="140" w:before="100" w:line="276"/>
              <w:jc w:val="both"/>
            </w:pPr>
            <w:r>
              <w:rPr>
                <w:rFonts w:ascii="Palatino Linotype" w:cs="Palatino Linotype" w:eastAsia="Palatino Linotype" w:hAnsi="Palatino Linotype"/>
                <w:b/>
                <w:bCs/>
                <w:sz w:val="20"/>
                <w:szCs w:val="20"/>
              </w:rPr>
              <w:t xml:space="preserve">Abstract: </w:t>
            </w:r>
            <w:r>
              <w:rPr>
                <w:rFonts w:ascii="Palatino Linotype" w:cs="Palatino Linotype" w:eastAsia="Palatino Linotype" w:hAnsi="Palatino Linotype"/>
                <w:sz w:val="20"/>
                <w:szCs w:val="20"/>
              </w:rPr>
              <w:t xml:space="preserve">The study aims to assess the extent and intensity of ESG disclosures among Indian power companies by evaluating their Business Responsibility and Sustainability Report (BRSR) using the Sustainability Reporting Maturity Model (SRMM) framework to score the reports for the year 2023-24. This evaluation will help understand how companies are aligning with sustainability standards and identify areas for improvement. It is observed that Business Responsibility and Sustainability Report (BRSR) gives most weightage to social score, social score of government companies is comparatively higher than non-government companies and the ESG performance of each company differs significantly. The study offers meaningful contributions to investors, policy makers and management to clearly assess the companies’ ESG performance by giving a comparable indicator for making better decisions. However, the study is limited to a single industry at one point of time. Future studies can be assessed with a greater number of years considering other industries.</w:t>
            </w:r>
          </w:p>
          <w:p>
            <w:pPr>
              <w:spacing w:after="200" w:before="100" w:line="276"/>
              <w:jc w:val="both"/>
            </w:pPr>
            <w:r>
              <w:rPr>
                <w:rFonts w:ascii="Palatino Linotype" w:cs="Palatino Linotype" w:eastAsia="Palatino Linotype" w:hAnsi="Palatino Linotype"/>
                <w:b/>
                <w:bCs/>
                <w:sz w:val="20"/>
                <w:szCs w:val="20"/>
              </w:rPr>
              <w:t xml:space="preserve">Keywords: </w:t>
            </w:r>
            <w:r>
              <w:rPr>
                <w:rFonts w:ascii="Palatino Linotype" w:cs="Palatino Linotype" w:eastAsia="Palatino Linotype" w:hAnsi="Palatino Linotype"/>
                <w:sz w:val="20"/>
                <w:szCs w:val="20"/>
              </w:rPr>
              <w:t xml:space="preserve">ESG report; ESG disclosure; Business Responsibility and Sustainability Report; BRSR; SRMM</w:t>
            </w:r>
          </w:p>
        </w:tc>
      </w:tr>
    </w:tbl>
    <w:p>
      <w:pPr>
        <w:spacing w:after="0" w:before="0"/>
      </w:pPr>
      <w:r>
        <w:t xml:space="preserve"/>
      </w:r>
    </w:p>
    <w:p>
      <w:pPr>
        <w:spacing w:after="140" w:before="280"/>
      </w:pPr>
      <w:r>
        <w:rPr>
          <w:rFonts w:ascii="Palatino Linotype" w:cs="Palatino Linotype" w:eastAsia="Palatino Linotype" w:hAnsi="Palatino Linotype"/>
          <w:b/>
          <w:bCs/>
          <w:sz w:val="22"/>
          <w:szCs w:val="22"/>
        </w:rPr>
        <w:t xml:space="preserve">1. </w:t>
      </w:r>
      <w:r>
        <w:rPr>
          <w:rFonts w:ascii="Palatino Linotype" w:cs="Palatino Linotype" w:eastAsia="Palatino Linotype" w:hAnsi="Palatino Linotype"/>
          <w:b/>
          <w:bCs/>
          <w:sz w:val="22"/>
          <w:szCs w:val="22"/>
        </w:rPr>
        <w:t xml:space="preserve">Introduction</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ESG is becoming a global priority to bring a sustainable future and inclusive growth (Gratcheva, 2024). This shift is supported by different systematic frameworks like Global Reporting Initiative (GRI), Sustainability Accounting Standards Board (SASB), Corporate Sustainability Reporting Directive (CSRD), Business Responsibility and Sustainability Report (BRSR) etc. (Nial &amp; Parashar, 2024). The increasing importance is also evident in academic literature showing a sharp increase on how ESG activities differ from industry to industry and country to country (Bosi et al., 2022). This created a need to align reporting practices with national regulatory practices and socio-economic conditions (Singhania et al., 2024). In India, BRSR framework addressed this need by offering a structured reporting approach that suits the Indian corporate and policy context (SEBI, 2021).</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sustainability reporting standards boards of India has introduced the Sustainability Reporting Maturity Model (SRMM) to systematically score the BRSR disclosures made by Indian companies to assess the quality of the report (SRMM, 2021). In this context, the quality of ESG reports in the energy sector is more important as it includes environmental impact and social responsibility (Zatonatska et al., 2025). Hence, this study aims to evaluate the ESG performance of selected Indian companies by assessing the BRSR disclosures and scoring that with SRMM.</w:t>
      </w:r>
    </w:p>
    <w:p>
      <w:pPr>
        <w:spacing w:after="100" w:before="200"/>
      </w:pPr>
      <w:r>
        <w:rPr>
          <w:rFonts w:ascii="Palatino Linotype" w:cs="Palatino Linotype" w:eastAsia="Palatino Linotype" w:hAnsi="Palatino Linotype"/>
          <w:b/>
          <w:bCs/>
          <w:i/>
          <w:iCs/>
          <w:sz w:val="20"/>
          <w:szCs w:val="20"/>
        </w:rPr>
        <w:t xml:space="preserve">1.1 Research Objectives</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To score ESG reports of selected Indian companies.</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To compare E, S and G scores of selected Indian companies.</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To explore if the nature of company influences ESG reporting quality.</w:t>
      </w:r>
    </w:p>
    <w:p>
      <w:pPr>
        <w:spacing w:after="100" w:before="200"/>
      </w:pPr>
      <w:r>
        <w:rPr>
          <w:rFonts w:ascii="Palatino Linotype" w:cs="Palatino Linotype" w:eastAsia="Palatino Linotype" w:hAnsi="Palatino Linotype"/>
          <w:b/>
          <w:bCs/>
          <w:i/>
          <w:iCs/>
          <w:sz w:val="20"/>
          <w:szCs w:val="20"/>
        </w:rPr>
        <w:t xml:space="preserve">1.2 Research Questions</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What are the SRMM based BRSR scores of selected Indian companies?</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How do companies vary with E, S and G performance?</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Does the nature of company influence the ESG reporting quality?</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findings support policy makers in reviewing the company level performance and identifying the gaps in reporting practices, provide investors with a comparable indicator of companies’ ESG performance, and guide management in improving ESG practices.</w:t>
      </w:r>
    </w:p>
    <w:p>
      <w:pPr>
        <w:spacing w:after="140" w:before="280"/>
      </w:pPr>
      <w:r>
        <w:rPr>
          <w:rFonts w:ascii="Palatino Linotype" w:cs="Palatino Linotype" w:eastAsia="Palatino Linotype" w:hAnsi="Palatino Linotype"/>
          <w:b/>
          <w:bCs/>
          <w:sz w:val="22"/>
          <w:szCs w:val="22"/>
        </w:rPr>
        <w:t xml:space="preserve">2. </w:t>
      </w:r>
      <w:r>
        <w:rPr>
          <w:rFonts w:ascii="Palatino Linotype" w:cs="Palatino Linotype" w:eastAsia="Palatino Linotype" w:hAnsi="Palatino Linotype"/>
          <w:b/>
          <w:bCs/>
          <w:sz w:val="22"/>
          <w:szCs w:val="22"/>
        </w:rPr>
        <w:t xml:space="preserve">Literature Review</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As per DiMaggio &amp; Powell (1983), the study is based on Institutional theory, as in India governance practices and sustainability reporting (BRSR) are mandatory in nature, which is viewed as an external pressure from regulators (SEBI, 2021; MCA, 2014). This study examines BRSR reports of the companies to assess how companies are responding to the external pressure of regulators (Risi et al., 2023).</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ESG reporting is gaining global attention following the Brundtland report (1987), highlighting the need to consider environment and social factors in economic decisions (Keeble, 1988). Academic interest in ESG reporting rose from 2019, with a sharp increase in publications from the year 2020 (Singh et al., 2023).</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Several ESG reporting frameworks have emerged guiding companies to systematically disclose ESG activities (Siew, 2015). These frameworks differ in their scope, format and target audience, but they all serve a similar purpose to promote transparency and sustainability (Afolabi et al., 2022). India is the fifth-largest economy and is noted as the fastest-growing economy among the emerging nations and thus there exists a necessity for monitoring the sustainable practices of a firm (Gidage et al., 2024). Business Responsibility and Sustainability Reporting (BRSR) is one such framework mandated in India from the year 2022-23, replacing the earlier Business Responsibility Report (BRR). BRR is focused on basic ESG factors whereas BRSR provides a structured framework aligned with the UN SDGs (Sarkar et al., 2023). The absence of adequate research in this direction makes an in-depth academic study imperative for fostering sustainable and responsible business practices in India.</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Mehra (2024) applied the SRMM framework during 2022–23, focusing on a set of four power companies and evaluating the ESG scores. The present study, conducted in 2023–24, builds upon this methodological foundation by applying the SRMM framework in an integrated manner. In contrast to Mehra’s approach, this research evaluates all three parts (A, B, and C) of the BRSR, providing a more comprehensive assessment of the ESG report.</w:t>
      </w:r>
    </w:p>
    <w:p>
      <w:pPr>
        <w:spacing w:after="140" w:before="280"/>
      </w:pPr>
      <w:r>
        <w:rPr>
          <w:rFonts w:ascii="Palatino Linotype" w:cs="Palatino Linotype" w:eastAsia="Palatino Linotype" w:hAnsi="Palatino Linotype"/>
          <w:b/>
          <w:bCs/>
          <w:sz w:val="22"/>
          <w:szCs w:val="22"/>
        </w:rPr>
        <w:t xml:space="preserve">3. </w:t>
      </w:r>
      <w:r>
        <w:rPr>
          <w:rFonts w:ascii="Palatino Linotype" w:cs="Palatino Linotype" w:eastAsia="Palatino Linotype" w:hAnsi="Palatino Linotype"/>
          <w:b/>
          <w:bCs/>
          <w:sz w:val="22"/>
          <w:szCs w:val="22"/>
        </w:rPr>
        <w:t xml:space="preserve">Methodology</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research applies a structured content analysis model to score Business Responsibility and Sustainability Report (BRSR) using the Sustainability Reporting Maturity Model (SRMM) framework to determine the quality of the ESG report (Olawale et al., 2023; White &amp; Marsh, 2006).</w:t>
      </w:r>
    </w:p>
    <w:p>
      <w:pPr>
        <w:spacing w:after="100" w:before="200"/>
      </w:pPr>
      <w:r>
        <w:rPr>
          <w:rFonts w:ascii="Palatino Linotype" w:cs="Palatino Linotype" w:eastAsia="Palatino Linotype" w:hAnsi="Palatino Linotype"/>
          <w:b/>
          <w:bCs/>
          <w:i/>
          <w:iCs/>
          <w:sz w:val="20"/>
          <w:szCs w:val="20"/>
        </w:rPr>
        <w:t xml:space="preserve">3.1 Research Design</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study employs a structured content analysis method by scoring the ESG report of selected Indian power companies. The SRMM version 2.0 scoring is adopted to analyze the content of BRSR disclosures (“Content Analysis Method,” 2017). The study design helps to gauge the extent to which companies are making their ESG reports in line with the new SEBI-introduced BRSR format.</w:t>
      </w:r>
    </w:p>
    <w:p>
      <w:pPr>
        <w:spacing w:after="100" w:before="200"/>
      </w:pPr>
      <w:r>
        <w:rPr>
          <w:rFonts w:ascii="Palatino Linotype" w:cs="Palatino Linotype" w:eastAsia="Palatino Linotype" w:hAnsi="Palatino Linotype"/>
          <w:b/>
          <w:bCs/>
          <w:i/>
          <w:iCs/>
          <w:sz w:val="20"/>
          <w:szCs w:val="20"/>
        </w:rPr>
        <w:t xml:space="preserve">3.2 Data Collection</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study relies exclusively on secondary data. BRSR data for the year 2023-24 of each company was sourced from the National Stock Exchange (NSE) (NSE, 2024), and the SRMM version 2.0 was downloaded from the official website of ICAI (ICAI, 2021).</w:t>
      </w:r>
    </w:p>
    <w:p>
      <w:pPr>
        <w:spacing w:after="100" w:before="200"/>
      </w:pPr>
      <w:r>
        <w:rPr>
          <w:rFonts w:ascii="Palatino Linotype" w:cs="Palatino Linotype" w:eastAsia="Palatino Linotype" w:hAnsi="Palatino Linotype"/>
          <w:b/>
          <w:bCs/>
          <w:i/>
          <w:iCs/>
          <w:sz w:val="20"/>
          <w:szCs w:val="20"/>
        </w:rPr>
        <w:t xml:space="preserve">3.3 Sample Selection</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Out of 43 listed power generation and distribution companies in India, 22 companies publish their BRSR reports. Among the 22 companies, 5 companies don’t publish leadership indicators as they are not mandatory in nature; the remaining 17 companies were taken for analysis, consisting of 5 government companies and 12 non-government companies.</w:t>
      </w:r>
    </w:p>
    <w:p>
      <w:pPr>
        <w:spacing w:after="100" w:before="200"/>
      </w:pPr>
      <w:r>
        <w:rPr>
          <w:rFonts w:ascii="Palatino Linotype" w:cs="Palatino Linotype" w:eastAsia="Palatino Linotype" w:hAnsi="Palatino Linotype"/>
          <w:b/>
          <w:bCs/>
          <w:i/>
          <w:iCs/>
          <w:sz w:val="20"/>
          <w:szCs w:val="20"/>
        </w:rPr>
        <w:t xml:space="preserve">3.4 Scoring Process</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scoring is based on the Sustainability Reporting Maturity Model (SRMM) version 2.0, a standardized assessment tool developed by the Sustainability Reporting Standards Board of India (ICAI) to evaluate the quality of sustainability disclosures (SRMM, 2021). It has 146 questions with a total score of 300; each question has a fixed weight ranging from 0 to 5, giving a higher score to the important indicators.</w:t>
      </w:r>
    </w:p>
    <w:p>
      <w:pPr>
        <w:spacing w:after="140" w:before="280"/>
      </w:pPr>
      <w:r>
        <w:rPr>
          <w:rFonts w:ascii="Palatino Linotype" w:cs="Palatino Linotype" w:eastAsia="Palatino Linotype" w:hAnsi="Palatino Linotype"/>
          <w:b/>
          <w:bCs/>
          <w:sz w:val="22"/>
          <w:szCs w:val="22"/>
        </w:rPr>
        <w:t xml:space="preserve">4. </w:t>
      </w:r>
      <w:r>
        <w:rPr>
          <w:rFonts w:ascii="Palatino Linotype" w:cs="Palatino Linotype" w:eastAsia="Palatino Linotype" w:hAnsi="Palatino Linotype"/>
          <w:b/>
          <w:bCs/>
          <w:sz w:val="22"/>
          <w:szCs w:val="22"/>
        </w:rPr>
        <w:t xml:space="preserve">Data Analysis and Discussion</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ESG performance of selected power companies was assessed using the SRMM (version 2.0) framework, with a maximum total score of 300 based on 146 questions. The assessment is structured into three sections, as given by (NGRBC, 2018).</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Section A: General Disclosures — 8 questions, maximum score 18.</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Section B: Management and process disclosures — 11 questions, maximum score 24.</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Section C comprises nine principles aligned with BRSR guidelines:</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1: Businesses should conduct and govern themselves with integrity, and in a manner that is ethical, transparent, and accountable — 12 questions, maximum score 24.</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2: Businesses should provide goods and services in a manner that is sustainable and safe — 10 questions, maximum score 27.</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3: Businesses should respect and promote the well-being of all employees, including those in their value chains — 31 questions, maximum score 49.</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4: Businesses should respect the interests of and be responsive to all its stakeholders — 6 questions, maximum score 10.</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5: Businesses should respect and promote human rights — 15 questions, maximum score 20.</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6: Businesses should respect and make efforts to protect and restore the environment — 17 questions, maximum score 54.</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7: Businesses, when engaging in influencing public and regulatory policy, should do so in a manner that is responsible and transparent — 4 questions, maximum score 7.</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8: Businesses should promote inclusive growth and equitable development — 12 questions, maximum score 24.</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Principle 9: Businesses should engage with and provide value to their consumers in a responsible manner — 20 questions, maximum score 43.</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Table 1 presents the BRSR scores of selected companies across three sections — A, B, and nine principles under Section C. Seventeen major power generation and distribution companies were assessed.</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It is also observed that several companies show significant gaps in their reporting (Table 1):</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Under Principle 2, none reported the percentage of reclaimed products or packing materials. Similarly, actions to mitigate environmental and social impacts identified through LCA were largely insufficient, with only Adani Green Energy Limited and Tata Power Company Limited providing adequate disclosures.</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Under Principle 4, none of the companies report any engagement with, and actions taken to address, the concerns of vulnerable/marginalized stakeholder groups, excluding Orient Electric Limited.</w:t>
      </w:r>
    </w:p>
    <w:p>
      <w:pPr>
        <w:spacing w:after="100" w:before="180"/>
        <w:jc w:val="center"/>
      </w:pPr>
      <w:r>
        <w:rPr>
          <w:rFonts w:ascii="Palatino Linotype" w:cs="Palatino Linotype" w:eastAsia="Palatino Linotype" w:hAnsi="Palatino Linotype"/>
          <w:b/>
          <w:bCs/>
          <w:i/>
          <w:iCs/>
          <w:sz w:val="18"/>
          <w:szCs w:val="18"/>
        </w:rPr>
        <w:t xml:space="preserve">Table 1. SRMM-based scores of selected Indian companies.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80"/>
        <w:gridCol w:w="580"/>
        <w:gridCol w:w="580"/>
        <w:gridCol w:w="580"/>
        <w:gridCol w:w="580"/>
        <w:gridCol w:w="580"/>
        <w:gridCol w:w="580"/>
        <w:gridCol w:w="580"/>
        <w:gridCol w:w="580"/>
        <w:gridCol w:w="580"/>
        <w:gridCol w:w="580"/>
        <w:gridCol w:w="580"/>
      </w:tblGrid>
      <w:tr>
        <w:trPr>
          <w:tblHeader/>
        </w:trPr>
        <w:tc>
          <w:tcPr>
            <w:tcW w:type="dxa" w:w="2400"/>
            <w:vMerge w:val="restart"/>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Company</w:t>
            </w:r>
          </w:p>
        </w:tc>
        <w:tc>
          <w:tcPr>
            <w:tcW w:type="dxa" w:w="580"/>
            <w:vMerge w:val="restart"/>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Total</w:t>
            </w:r>
          </w:p>
        </w:tc>
        <w:tc>
          <w:tcPr>
            <w:tcW w:type="dxa" w:w="580"/>
            <w:vMerge w:val="restart"/>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Sec A</w:t>
            </w:r>
          </w:p>
        </w:tc>
        <w:tc>
          <w:tcPr>
            <w:tcW w:type="dxa" w:w="580"/>
            <w:vMerge w:val="restart"/>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Sec B</w:t>
            </w:r>
          </w:p>
        </w:tc>
        <w:tc>
          <w:tcPr>
            <w:tcW w:type="dxa" w:w="5220"/>
            <w:gridSpan w:val="9"/>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Section C (Principles)</w:t>
            </w:r>
          </w:p>
        </w:tc>
      </w:tr>
      <w:tr>
        <w:trPr>
          <w:tblHeader/>
        </w:trPr>
        <w:tc>
          <w:tcPr>
            <w:vMerge w:val="continue"/>
            <w:tcBorders>
              <w:top w:val="single" w:color="BFBFBF" w:sz="4"/>
              <w:left w:val="single" w:color="BFBFBF" w:sz="4"/>
              <w:bottom w:val="single" w:color="BFBFBF" w:sz="4"/>
              <w:right w:val="single" w:color="BFBFBF" w:sz="4"/>
            </w:tcBorders>
          </w:tcPr>
          <w:p/>
        </w:tc>
        <w:tc>
          <w:tcPr>
            <w:vMerge w:val="continue"/>
            <w:tcBorders>
              <w:top w:val="single" w:color="BFBFBF" w:sz="4"/>
              <w:left w:val="single" w:color="BFBFBF" w:sz="4"/>
              <w:bottom w:val="single" w:color="BFBFBF" w:sz="4"/>
              <w:right w:val="single" w:color="BFBFBF" w:sz="4"/>
            </w:tcBorders>
          </w:tcPr>
          <w:p/>
        </w:tc>
        <w:tc>
          <w:tcPr>
            <w:vMerge w:val="continue"/>
            <w:tcBorders>
              <w:top w:val="single" w:color="BFBFBF" w:sz="4"/>
              <w:left w:val="single" w:color="BFBFBF" w:sz="4"/>
              <w:bottom w:val="single" w:color="BFBFBF" w:sz="4"/>
              <w:right w:val="single" w:color="BFBFBF" w:sz="4"/>
            </w:tcBorders>
          </w:tcPr>
          <w:p/>
        </w:tc>
        <w:tc>
          <w:tcPr>
            <w:vMerge w:val="continue"/>
            <w:tcBorders>
              <w:top w:val="single" w:color="BFBFBF" w:sz="4"/>
              <w:left w:val="single" w:color="BFBFBF" w:sz="4"/>
              <w:bottom w:val="single" w:color="BFBFBF" w:sz="4"/>
              <w:right w:val="single" w:color="BFBFBF" w:sz="4"/>
            </w:tcBorders>
          </w:tcP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P1</w:t>
            </w: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P2</w:t>
            </w: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P3</w:t>
            </w: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P4</w:t>
            </w: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P5</w:t>
            </w: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P6</w:t>
            </w: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P7</w:t>
            </w: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P8</w:t>
            </w:r>
          </w:p>
        </w:tc>
        <w:tc>
          <w:tcPr>
            <w:tcW w:type="dxa" w:w="58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P9</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No. of questions</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146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Max score</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300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43</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JSW Energy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250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30</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Adani Green Energy Limited</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238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19</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29</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Adani Energy Solutions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235</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38</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SJVN Limited</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225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49</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32</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29</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NTPC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220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28</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NLC India Limited</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14</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23</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14</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14</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Tata Power Company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214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30</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NHPC Limited</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212</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19</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28</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Torrent Power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209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Adani Power Limited</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200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23</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24</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India Power Corporation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192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43</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Indian Renewable Energy Development Agency Ltd.</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191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42</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RattanIndia Power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191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15</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Mac Charles (India) Limited</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181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Jaiprakash Power Ventures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178</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37</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r>
      <w:tr>
        <w:tc>
          <w:tcPr>
            <w:tcW w:type="dxa" w:w="24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CESC Limited</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174</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19</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9</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26</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30</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8</w:t>
            </w:r>
          </w:p>
        </w:tc>
        <w:tc>
          <w:tcPr>
            <w:tcW w:type="dxa" w:w="58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34</w:t>
            </w:r>
          </w:p>
        </w:tc>
      </w:tr>
      <w:tr>
        <w:tc>
          <w:tcPr>
            <w:tcW w:type="dxa" w:w="24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Inox Wind Energy Limited</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139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19</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w:t>
            </w:r>
          </w:p>
        </w:tc>
        <w:tc>
          <w:tcPr>
            <w:tcW w:type="dxa" w:w="58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30</w:t>
            </w:r>
          </w:p>
        </w:tc>
      </w:tr>
    </w:tbl>
    <w:p>
      <w:pPr>
        <w:spacing w:after="120" w:before="200" w:line="276"/>
        <w:jc w:val="both"/>
      </w:pPr>
      <w:r>
        <w:rPr>
          <w:rFonts w:ascii="Palatino Linotype" w:cs="Palatino Linotype" w:eastAsia="Palatino Linotype" w:hAnsi="Palatino Linotype"/>
          <w:b w:val="false"/>
          <w:bCs w:val="false"/>
          <w:i w:val="false"/>
          <w:iCs w:val="false"/>
          <w:color w:val="000000"/>
          <w:sz w:val="20"/>
          <w:szCs w:val="20"/>
        </w:rPr>
        <w:t xml:space="preserve">The analysis highlights JSW Energy and Adani Green as overall leaders. SJVN excels in employee wellbeing (P3) and inclusive growth (P8), while Adani Green leads in product lifecycle sustainability (P2) and human rights (P5). Other strong performers include Adani Energy Solutions in P7, and India Power Corporation and IREDA in customer value (P9). At the lower end, Inox Wind, CESC, and Jaiprakash Power show weaker reporting maturity.</w:t>
      </w:r>
    </w:p>
    <w:p>
      <w:pPr>
        <w:spacing w:after="100" w:before="180"/>
        <w:jc w:val="center"/>
      </w:pPr>
      <w:r>
        <w:rPr>
          <w:rFonts w:ascii="Palatino Linotype" w:cs="Palatino Linotype" w:eastAsia="Palatino Linotype" w:hAnsi="Palatino Linotype"/>
          <w:b/>
          <w:bCs/>
          <w:i/>
          <w:iCs/>
          <w:sz w:val="18"/>
          <w:szCs w:val="18"/>
        </w:rPr>
        <w:t xml:space="preserve">Table 2. SRMM-based E, S, and G scores across the selected Indian companies.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rPr>
          <w:tblHeader/>
        </w:trPr>
        <w:tc>
          <w:tcPr>
            <w:tcW w:type="dxa" w:w="336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Company</w:t>
            </w:r>
          </w:p>
        </w:tc>
        <w:tc>
          <w:tcPr>
            <w:tcW w:type="dxa" w:w="200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Total E Score</w:t>
            </w:r>
          </w:p>
        </w:tc>
        <w:tc>
          <w:tcPr>
            <w:tcW w:type="dxa" w:w="200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Total S Score</w:t>
            </w:r>
          </w:p>
        </w:tc>
        <w:tc>
          <w:tcPr>
            <w:tcW w:type="dxa" w:w="200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Total G Score</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No. of questions (146)</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40</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90</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29</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Max score (300)</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81</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160</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59</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Total Weightage</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27%</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53%</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20%</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Adani Energy Solutions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63</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123</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49</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Adani Green Energy Limited</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74</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114</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50</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Adani Power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51</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96</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53</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CESC Limited</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39</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97</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38</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India Power Corporation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34</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126</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32</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Indian Renewable Energy Development Agency Ltd.</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36</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120</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35</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Inox Wind Energy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90</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29</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Jaiprakash Power Ventures Limited</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33</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101</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44</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JSW Energy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67</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127</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56</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Mac Charles (India) Limited</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42</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108</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NHPC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58</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106</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48</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NLC India Limited</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48</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121</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48</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NTPC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54</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118</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48</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RattanIndia Power Limited</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33</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109</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49</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SJVN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49</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133</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43</w:t>
            </w:r>
          </w:p>
        </w:tc>
      </w:tr>
      <w:tr>
        <w:tc>
          <w:tcPr>
            <w:tcW w:type="dxa" w:w="336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Tata Power Company Limited</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62</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98</w:t>
            </w:r>
          </w:p>
        </w:tc>
        <w:tc>
          <w:tcPr>
            <w:tcW w:type="dxa" w:w="20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54</w:t>
            </w:r>
          </w:p>
        </w:tc>
      </w:tr>
      <w:tr>
        <w:tc>
          <w:tcPr>
            <w:tcW w:type="dxa" w:w="336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val="false"/>
                <w:bCs w:val="false"/>
                <w:i w:val="false"/>
                <w:iCs w:val="false"/>
                <w:color w:val="000000"/>
                <w:sz w:val="15"/>
                <w:szCs w:val="15"/>
              </w:rPr>
              <w:t xml:space="preserve">Torrent Power Limited</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50</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108</w:t>
            </w:r>
          </w:p>
        </w:tc>
        <w:tc>
          <w:tcPr>
            <w:tcW w:type="dxa" w:w="20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51</w:t>
            </w:r>
          </w:p>
        </w:tc>
      </w:tr>
    </w:tbl>
    <w:p>
      <w:pPr>
        <w:spacing w:after="120" w:before="200" w:line="276"/>
        <w:jc w:val="both"/>
      </w:pPr>
      <w:r>
        <w:rPr>
          <w:rFonts w:ascii="Palatino Linotype" w:cs="Palatino Linotype" w:eastAsia="Palatino Linotype" w:hAnsi="Palatino Linotype"/>
          <w:b w:val="false"/>
          <w:bCs w:val="false"/>
          <w:i w:val="false"/>
          <w:iCs w:val="false"/>
          <w:color w:val="000000"/>
          <w:sz w:val="20"/>
          <w:szCs w:val="20"/>
        </w:rPr>
        <w:t xml:space="preserve">Under Table 2, the E-Score, S-Score, and G-Score are assessed in the following manner:</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E-Score = P2 + P6 = 40 questions, maximum score 81</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S-Score = P9 + P8 + P5 + P4 + P3 + 6 questions in Section A = 90 questions, maximum score 160</w:t>
      </w:r>
    </w:p>
    <w:p>
      <w:pPr>
        <w:pStyle w:val="ListParagraph"/>
        <w:numPr>
          <w:ilvl w:val="0"/>
          <w:numId w:val="2"/>
        </w:numPr>
        <w:spacing w:after="100" w:before="0" w:line="276"/>
        <w:jc w:val="both"/>
      </w:pPr>
      <w:r>
        <w:rPr>
          <w:rFonts w:ascii="Palatino Linotype" w:cs="Palatino Linotype" w:eastAsia="Palatino Linotype" w:hAnsi="Palatino Linotype"/>
          <w:sz w:val="20"/>
          <w:szCs w:val="20"/>
        </w:rPr>
        <w:t xml:space="preserve">G-Score = P7 + P1 + Section B + 2 questions in Section A = 29 questions, maximum score 59</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From the information above, we can see that the BRSR report, using the SRMM framework, predominantly focused on the social pillar of ESG, having 90 out of 146 questions, with a score of 160 out of 300, a weightage of 53%. The Governance pillar has the least amount of emphasis, having 29 questions with a score of 59, equating to 20% of the weightage. The Environmental pillar has 40 questions.</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analysis of ESG performance shows distinct leaders across the three pillars. Adani Green Energy Limited is the top performer in the Environmental (E) score with a clear lead over others, while SJVN Limited secures the highest Social (S) score. In the Governance (G) score, JSW Energy Limited is leading closely, followed by Tata Power Company and Adani Power Limited.</w:t>
      </w:r>
    </w:p>
    <w:p>
      <w:pPr>
        <w:spacing w:after="100" w:before="180"/>
        <w:jc w:val="center"/>
      </w:pPr>
      <w:r>
        <w:rPr>
          <w:rFonts w:ascii="Palatino Linotype" w:cs="Palatino Linotype" w:eastAsia="Palatino Linotype" w:hAnsi="Palatino Linotype"/>
          <w:b/>
          <w:bCs/>
          <w:i/>
          <w:iCs/>
          <w:sz w:val="18"/>
          <w:szCs w:val="18"/>
        </w:rPr>
        <w:t xml:space="preserve">Table 3. Comparison between government and non-government companies.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1600"/>
        <w:gridCol w:w="1600"/>
        <w:gridCol w:w="2130"/>
        <w:gridCol w:w="2130"/>
      </w:tblGrid>
      <w:tr>
        <w:trPr>
          <w:tblHeader/>
        </w:trPr>
        <w:tc>
          <w:tcPr>
            <w:tcW w:type="dxa" w:w="190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Parameter</w:t>
            </w:r>
          </w:p>
        </w:tc>
        <w:tc>
          <w:tcPr>
            <w:tcW w:type="dxa" w:w="160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No. of Questions</w:t>
            </w:r>
          </w:p>
        </w:tc>
        <w:tc>
          <w:tcPr>
            <w:tcW w:type="dxa" w:w="160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Max Score</w:t>
            </w:r>
          </w:p>
        </w:tc>
        <w:tc>
          <w:tcPr>
            <w:tcW w:type="dxa" w:w="213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Non-Government Cos. (Avg.)</w:t>
            </w:r>
          </w:p>
        </w:tc>
        <w:tc>
          <w:tcPr>
            <w:tcW w:type="dxa" w:w="2130"/>
            <w:tcBorders>
              <w:top w:val="single" w:color="BFBFBF" w:sz="4"/>
              <w:left w:val="single" w:color="BFBFBF" w:sz="4"/>
              <w:bottom w:val="single" w:color="BFBFBF" w:sz="4"/>
              <w:right w:val="single" w:color="BFBFBF" w:sz="4"/>
            </w:tcBorders>
            <w:shd w:fill="2E7D32" w:color="auto" w:val="clear"/>
            <w:tcMar>
              <w:top w:type="dxa" w:w="80"/>
              <w:left w:type="dxa" w:w="100"/>
              <w:bottom w:type="dxa" w:w="80"/>
              <w:right w:type="dxa" w:w="100"/>
            </w:tcMar>
            <w:vAlign w:val="center"/>
          </w:tcPr>
          <w:p>
            <w:pPr>
              <w:spacing w:after="0" w:before="0"/>
              <w:jc w:val="center"/>
            </w:pPr>
            <w:r>
              <w:rPr>
                <w:rFonts w:ascii="Palatino Linotype" w:cs="Palatino Linotype" w:eastAsia="Palatino Linotype" w:hAnsi="Palatino Linotype"/>
                <w:b/>
                <w:bCs/>
                <w:color w:val="FFFFFF"/>
                <w:sz w:val="16"/>
                <w:szCs w:val="16"/>
              </w:rPr>
              <w:t xml:space="preserve">Government Cos. (Avg.)</w:t>
            </w:r>
          </w:p>
        </w:tc>
      </w:tr>
      <w:tr>
        <w:tc>
          <w:tcPr>
            <w:tcW w:type="dxa" w:w="19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Total</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146</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300</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203</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bCs/>
                <w:i w:val="false"/>
                <w:iCs w:val="false"/>
                <w:color w:val="000000"/>
                <w:sz w:val="15"/>
                <w:szCs w:val="15"/>
              </w:rPr>
              <w:t xml:space="preserve">213</w:t>
            </w:r>
          </w:p>
        </w:tc>
      </w:tr>
      <w:tr>
        <w:tc>
          <w:tcPr>
            <w:tcW w:type="dxa" w:w="19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Section A</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8</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18</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r>
      <w:tr>
        <w:tc>
          <w:tcPr>
            <w:tcW w:type="dxa" w:w="19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Section B</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11</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24</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r>
      <w:tr>
        <w:tc>
          <w:tcPr>
            <w:tcW w:type="dxa" w:w="19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1</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24</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r>
      <w:tr>
        <w:tc>
          <w:tcPr>
            <w:tcW w:type="dxa" w:w="19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2</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27</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r>
      <w:tr>
        <w:tc>
          <w:tcPr>
            <w:tcW w:type="dxa" w:w="19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3</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49</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36</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44</w:t>
            </w:r>
          </w:p>
        </w:tc>
      </w:tr>
      <w:tr>
        <w:tc>
          <w:tcPr>
            <w:tcW w:type="dxa" w:w="19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4</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10</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r>
      <w:tr>
        <w:tc>
          <w:tcPr>
            <w:tcW w:type="dxa" w:w="19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5</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15</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16</w:t>
            </w:r>
          </w:p>
        </w:tc>
      </w:tr>
      <w:tr>
        <w:tc>
          <w:tcPr>
            <w:tcW w:type="dxa" w:w="19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6</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17</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54</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35</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35</w:t>
            </w:r>
          </w:p>
        </w:tc>
      </w:tr>
      <w:tr>
        <w:tc>
          <w:tcPr>
            <w:tcW w:type="dxa" w:w="19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7</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7</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5</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6</w:t>
            </w:r>
          </w:p>
        </w:tc>
      </w:tr>
      <w:tr>
        <w:tc>
          <w:tcPr>
            <w:tcW w:type="dxa" w:w="19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8</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12</w:t>
            </w:r>
          </w:p>
        </w:tc>
        <w:tc>
          <w:tcPr>
            <w:tcW w:type="dxa" w:w="160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24</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8</w:t>
            </w:r>
          </w:p>
        </w:tc>
        <w:tc>
          <w:tcPr>
            <w:tcW w:type="dxa" w:w="2130"/>
            <w:tcBorders>
              <w:top w:val="single" w:color="BFBFBF" w:sz="4"/>
              <w:left w:val="single" w:color="BFBFBF" w:sz="4"/>
              <w:bottom w:val="single" w:color="BFBFBF" w:sz="4"/>
              <w:right w:val="single" w:color="BFBFBF" w:sz="4"/>
            </w:tcBorders>
            <w:shd w:fill="F2F7F2" w:color="auto" w:val="clear"/>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13</w:t>
            </w:r>
          </w:p>
        </w:tc>
      </w:tr>
      <w:tr>
        <w:tc>
          <w:tcPr>
            <w:tcW w:type="dxa" w:w="19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left"/>
            </w:pPr>
            <w:r>
              <w:rPr>
                <w:rFonts w:ascii="Palatino Linotype" w:cs="Palatino Linotype" w:eastAsia="Palatino Linotype" w:hAnsi="Palatino Linotype"/>
                <w:b/>
                <w:bCs/>
                <w:i w:val="false"/>
                <w:iCs w:val="false"/>
                <w:color w:val="000000"/>
                <w:sz w:val="15"/>
                <w:szCs w:val="15"/>
              </w:rPr>
              <w:t xml:space="preserve">Principle 9</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20</w:t>
            </w:r>
          </w:p>
        </w:tc>
        <w:tc>
          <w:tcPr>
            <w:tcW w:type="dxa" w:w="160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43</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33</w:t>
            </w:r>
          </w:p>
        </w:tc>
        <w:tc>
          <w:tcPr>
            <w:tcW w:type="dxa" w:w="2130"/>
            <w:tcBorders>
              <w:top w:val="single" w:color="BFBFBF" w:sz="4"/>
              <w:left w:val="single" w:color="BFBFBF" w:sz="4"/>
              <w:bottom w:val="single" w:color="BFBFBF" w:sz="4"/>
              <w:right w:val="single" w:color="BFBFBF" w:sz="4"/>
            </w:tcBorders>
            <w:tcMar>
              <w:top w:type="dxa" w:w="60"/>
              <w:left w:type="dxa" w:w="100"/>
              <w:bottom w:type="dxa" w:w="60"/>
              <w:right w:type="dxa" w:w="100"/>
            </w:tcMar>
            <w:vAlign w:val="center"/>
          </w:tcPr>
          <w:p>
            <w:pPr>
              <w:spacing w:after="0" w:before="0"/>
              <w:jc w:val="center"/>
            </w:pPr>
            <w:r>
              <w:rPr>
                <w:rFonts w:ascii="Palatino Linotype" w:cs="Palatino Linotype" w:eastAsia="Palatino Linotype" w:hAnsi="Palatino Linotype"/>
                <w:b w:val="false"/>
                <w:bCs w:val="false"/>
                <w:i w:val="false"/>
                <w:iCs w:val="false"/>
                <w:color w:val="000000"/>
                <w:sz w:val="15"/>
                <w:szCs w:val="15"/>
              </w:rPr>
              <w:t xml:space="preserve">31</w:t>
            </w:r>
          </w:p>
        </w:tc>
      </w:tr>
    </w:tbl>
    <w:p>
      <w:pPr>
        <w:spacing w:after="120" w:before="200" w:line="276"/>
        <w:jc w:val="both"/>
      </w:pPr>
      <w:r>
        <w:rPr>
          <w:rFonts w:ascii="Palatino Linotype" w:cs="Palatino Linotype" w:eastAsia="Palatino Linotype" w:hAnsi="Palatino Linotype"/>
          <w:b w:val="false"/>
          <w:bCs w:val="false"/>
          <w:i w:val="false"/>
          <w:iCs w:val="false"/>
          <w:color w:val="000000"/>
          <w:sz w:val="20"/>
          <w:szCs w:val="20"/>
        </w:rPr>
        <w:t xml:space="preserve">The above table clearly shows government companies are outperforming in Principle 3 (Businesses should respect and promote the well-being of all employees) and Principle 8 (Businesses should promote inclusive growth and equitable development).</w:t>
      </w:r>
    </w:p>
    <w:p>
      <w:pPr>
        <w:spacing w:after="140" w:before="280"/>
      </w:pPr>
      <w:r>
        <w:rPr>
          <w:rFonts w:ascii="Palatino Linotype" w:cs="Palatino Linotype" w:eastAsia="Palatino Linotype" w:hAnsi="Palatino Linotype"/>
          <w:b/>
          <w:bCs/>
          <w:sz w:val="22"/>
          <w:szCs w:val="22"/>
        </w:rPr>
        <w:t xml:space="preserve">5. </w:t>
      </w:r>
      <w:r>
        <w:rPr>
          <w:rFonts w:ascii="Palatino Linotype" w:cs="Palatino Linotype" w:eastAsia="Palatino Linotype" w:hAnsi="Palatino Linotype"/>
          <w:b/>
          <w:bCs/>
          <w:sz w:val="22"/>
          <w:szCs w:val="22"/>
        </w:rPr>
        <w:t xml:space="preserve">Conclusion</w:t>
      </w:r>
    </w:p>
    <w:p>
      <w:pPr>
        <w:spacing w:after="120" w:before="0" w:line="276"/>
        <w:jc w:val="both"/>
      </w:pPr>
      <w:r>
        <w:rPr>
          <w:rFonts w:ascii="Palatino Linotype" w:cs="Palatino Linotype" w:eastAsia="Palatino Linotype" w:hAnsi="Palatino Linotype"/>
          <w:b w:val="false"/>
          <w:bCs w:val="false"/>
          <w:i w:val="false"/>
          <w:iCs w:val="false"/>
          <w:color w:val="000000"/>
          <w:sz w:val="20"/>
          <w:szCs w:val="20"/>
        </w:rPr>
        <w:t xml:space="preserve">The study aimed to assess the quality of ESG reports by systematically scoring BRSR disclosures. The results show that the overall score and E, S, and G score of the companies have significant variations. Government companies are outperforming non-government companies in social indicators; yet some non-government companies, like JSW Energy, Orient Electric, Adani Green Energy, and Adani Energy Solutions, also demonstrate notable strengths. However, the study is limited to a single industry and single year. Future studies can be conducted in other industries considering a specified timeline.</w:t>
      </w:r>
    </w:p>
    <w:p>
      <w:pPr>
        <w:spacing w:after="140" w:before="280"/>
      </w:pPr>
      <w:r>
        <w:rPr>
          <w:rFonts w:ascii="Palatino Linotype" w:cs="Palatino Linotype" w:eastAsia="Palatino Linotype" w:hAnsi="Palatino Linotype"/>
          <w:b/>
          <w:bCs/>
          <w:sz w:val="22"/>
          <w:szCs w:val="22"/>
        </w:rPr>
        <w:t xml:space="preserve">6. </w:t>
      </w:r>
      <w:r>
        <w:rPr>
          <w:rFonts w:ascii="Palatino Linotype" w:cs="Palatino Linotype" w:eastAsia="Palatino Linotype" w:hAnsi="Palatino Linotype"/>
          <w:b/>
          <w:bCs/>
          <w:sz w:val="22"/>
          <w:szCs w:val="22"/>
        </w:rPr>
        <w:t xml:space="preserve">References</w:t>
      </w:r>
    </w:p>
    <w:p>
      <w:pPr>
        <w:spacing w:after="140" w:before="0" w:line="260"/>
        <w:ind w:left="360" w:hanging="360"/>
        <w:jc w:val="both"/>
      </w:pPr>
      <w:r>
        <w:rPr>
          <w:rFonts w:ascii="Palatino Linotype" w:cs="Palatino Linotype" w:eastAsia="Palatino Linotype" w:hAnsi="Palatino Linotype"/>
          <w:sz w:val="18"/>
          <w:szCs w:val="18"/>
        </w:rPr>
        <w:t xml:space="preserve">Bosi, M. K., Lajuni, N., Wellfren, A. C., &amp; Lim, T. S. (2022). Sustainability reporting through environmental, social, and governance: A bibliometric review. Sustainability, 14(19), 12071. https://doi.org/10.3390/su141912071</w:t>
      </w:r>
    </w:p>
    <w:p>
      <w:pPr>
        <w:spacing w:after="140" w:before="0" w:line="260"/>
        <w:ind w:left="360" w:hanging="360"/>
        <w:jc w:val="both"/>
      </w:pPr>
      <w:r>
        <w:rPr>
          <w:rFonts w:ascii="Palatino Linotype" w:cs="Palatino Linotype" w:eastAsia="Palatino Linotype" w:hAnsi="Palatino Linotype"/>
          <w:sz w:val="18"/>
          <w:szCs w:val="18"/>
        </w:rPr>
        <w:t xml:space="preserve">DiMaggio, P. J., &amp; Powell, W. W. (1983). The iron cage revisited: Institutional isomorphism and collective rationality in organizational fields. American Sociological Review, 48(2), 147–160. https://doi.org/10.2307/2095101</w:t>
      </w:r>
    </w:p>
    <w:p>
      <w:pPr>
        <w:spacing w:after="140" w:before="0" w:line="260"/>
        <w:ind w:left="360" w:hanging="360"/>
        <w:jc w:val="both"/>
      </w:pPr>
      <w:r>
        <w:rPr>
          <w:rFonts w:ascii="Palatino Linotype" w:cs="Palatino Linotype" w:eastAsia="Palatino Linotype" w:hAnsi="Palatino Linotype"/>
          <w:sz w:val="18"/>
          <w:szCs w:val="18"/>
        </w:rPr>
        <w:t xml:space="preserve">Gratcheva, E. (2024). Sovereign environmental, social, and governance (ESG) investing: Chasing elusive sustainability (IMF Working Paper No. 2024/102). International Monetary Fund. https://doi.org/10.5089/9798400277054.001</w:t>
      </w:r>
    </w:p>
    <w:p>
      <w:pPr>
        <w:spacing w:after="140" w:before="0" w:line="260"/>
        <w:ind w:left="360" w:hanging="360"/>
        <w:jc w:val="both"/>
      </w:pPr>
      <w:r>
        <w:rPr>
          <w:rFonts w:ascii="Palatino Linotype" w:cs="Palatino Linotype" w:eastAsia="Palatino Linotype" w:hAnsi="Palatino Linotype"/>
          <w:sz w:val="18"/>
          <w:szCs w:val="18"/>
        </w:rPr>
        <w:t xml:space="preserve">ICAI. (2021). Sustainability reporting maturity model (SRMM). Institute of Chartered Accountants of India. https://resource.cdn.icai.org/74106srsb59994.pdf</w:t>
      </w:r>
    </w:p>
    <w:p>
      <w:pPr>
        <w:spacing w:after="140" w:before="0" w:line="260"/>
        <w:ind w:left="360" w:hanging="360"/>
        <w:jc w:val="both"/>
      </w:pPr>
      <w:r>
        <w:rPr>
          <w:rFonts w:ascii="Palatino Linotype" w:cs="Palatino Linotype" w:eastAsia="Palatino Linotype" w:hAnsi="Palatino Linotype"/>
          <w:sz w:val="18"/>
          <w:szCs w:val="18"/>
        </w:rPr>
        <w:t xml:space="preserve">MCA. (2014, March 31). Rules. Ministry of Corporate Affairs. https://www.mca.gov.in/content/mca/global/en/acts-rules/ebooks/rules.html</w:t>
      </w:r>
    </w:p>
    <w:p>
      <w:pPr>
        <w:spacing w:after="140" w:before="0" w:line="260"/>
        <w:ind w:left="360" w:hanging="360"/>
        <w:jc w:val="both"/>
      </w:pPr>
      <w:r>
        <w:rPr>
          <w:rFonts w:ascii="Palatino Linotype" w:cs="Palatino Linotype" w:eastAsia="Palatino Linotype" w:hAnsi="Palatino Linotype"/>
          <w:sz w:val="18"/>
          <w:szCs w:val="18"/>
        </w:rPr>
        <w:t xml:space="preserve">Mehra, P. (2024). Scoring sustainability reports for assessing environmental and social dimension of leading energy sector companies. VEETHIKA – An International Interdisciplinary Research Journal, 10(1), 1–6. https://doi.org/10.48001/veethika.2024.10.01.001</w:t>
      </w:r>
    </w:p>
    <w:p>
      <w:pPr>
        <w:spacing w:after="140" w:before="0" w:line="260"/>
        <w:ind w:left="360" w:hanging="360"/>
        <w:jc w:val="both"/>
      </w:pPr>
      <w:r>
        <w:rPr>
          <w:rFonts w:ascii="Palatino Linotype" w:cs="Palatino Linotype" w:eastAsia="Palatino Linotype" w:hAnsi="Palatino Linotype"/>
          <w:sz w:val="18"/>
          <w:szCs w:val="18"/>
        </w:rPr>
        <w:t xml:space="preserve">Nial, N., &amp; Parashar, P. (2024). A comparative study on sustainability standards with specific reference to GRI standards and BRSR framework. International Journal of Quality &amp; Reliability Management, 41(7), 1752–1782. https://doi.org/10.1108/ijqrm-02-2023-0028</w:t>
      </w:r>
    </w:p>
    <w:p>
      <w:pPr>
        <w:spacing w:after="140" w:before="0" w:line="260"/>
        <w:ind w:left="360" w:hanging="360"/>
        <w:jc w:val="both"/>
      </w:pPr>
      <w:r>
        <w:rPr>
          <w:rFonts w:ascii="Palatino Linotype" w:cs="Palatino Linotype" w:eastAsia="Palatino Linotype" w:hAnsi="Palatino Linotype"/>
          <w:sz w:val="18"/>
          <w:szCs w:val="18"/>
        </w:rPr>
        <w:t xml:space="preserve">NGRBC. (2018). National guidelines on responsible business conduct. Ministry of Corporate Affairs, Government of India. https://iica.nic.in/images/National-Guidelines-on-Responsible%20Business%20Conduct.pdf</w:t>
      </w:r>
    </w:p>
    <w:p>
      <w:pPr>
        <w:spacing w:after="140" w:before="0" w:line="260"/>
        <w:ind w:left="360" w:hanging="360"/>
        <w:jc w:val="both"/>
      </w:pPr>
      <w:r>
        <w:rPr>
          <w:rFonts w:ascii="Palatino Linotype" w:cs="Palatino Linotype" w:eastAsia="Palatino Linotype" w:hAnsi="Palatino Linotype"/>
          <w:sz w:val="18"/>
          <w:szCs w:val="18"/>
        </w:rPr>
        <w:t xml:space="preserve">Olawale, S. R., Chinagozi, O. G., &amp; Joe, O. N. (2023). Exploratory research design in management science: A review of literature on conduct and application. International Journal of Research and Innovation in Social Science, 7(4), 1384–1395. https://doi.org/10.47772/ijriss.2023.7515</w:t>
      </w:r>
    </w:p>
    <w:p>
      <w:pPr>
        <w:spacing w:after="140" w:before="0" w:line="260"/>
        <w:ind w:left="360" w:hanging="360"/>
        <w:jc w:val="both"/>
      </w:pPr>
      <w:r>
        <w:rPr>
          <w:rFonts w:ascii="Palatino Linotype" w:cs="Palatino Linotype" w:eastAsia="Palatino Linotype" w:hAnsi="Palatino Linotype"/>
          <w:sz w:val="18"/>
          <w:szCs w:val="18"/>
        </w:rPr>
        <w:t xml:space="preserve">Risi, D., Vigneau, L., Bohn, S., &amp; Wickert, C. (2023). Institutional theory‐based research on corporate social responsibility: Bringing values back in. International Journal of Management Reviews, 25(1), 3–23. https://doi.org/10.1111/ijmr.12299</w:t>
      </w:r>
    </w:p>
    <w:p>
      <w:pPr>
        <w:spacing w:after="140" w:before="0" w:line="260"/>
        <w:ind w:left="360" w:hanging="360"/>
        <w:jc w:val="both"/>
      </w:pPr>
      <w:r>
        <w:rPr>
          <w:rFonts w:ascii="Palatino Linotype" w:cs="Palatino Linotype" w:eastAsia="Palatino Linotype" w:hAnsi="Palatino Linotype"/>
          <w:sz w:val="18"/>
          <w:szCs w:val="18"/>
        </w:rPr>
        <w:t xml:space="preserve">Sarkar, S., Nair, M. M. S., &amp; Datta, A. (2023). Role of environmental, social, and governance in achieving the UN Sustainable Development Goals: A special focus on India. Environmental Progress &amp; Sustainable Energy, 42(6), e14204. https://doi.org/10.1002/ep.14204</w:t>
      </w:r>
    </w:p>
    <w:p>
      <w:pPr>
        <w:spacing w:after="140" w:before="0" w:line="260"/>
        <w:ind w:left="360" w:hanging="360"/>
        <w:jc w:val="both"/>
      </w:pPr>
      <w:r>
        <w:rPr>
          <w:rFonts w:ascii="Palatino Linotype" w:cs="Palatino Linotype" w:eastAsia="Palatino Linotype" w:hAnsi="Palatino Linotype"/>
          <w:sz w:val="18"/>
          <w:szCs w:val="18"/>
        </w:rPr>
        <w:t xml:space="preserve">SEBI. (2021). Business responsibility and sustainability reporting by listed entities (Circular No. SEBI/HO/CFD/CMD-2/P/CIR/2021/562). Securities and Exchange Board of India.</w:t>
      </w:r>
    </w:p>
    <w:p>
      <w:pPr>
        <w:spacing w:after="140" w:before="0" w:line="260"/>
        <w:ind w:left="360" w:hanging="360"/>
        <w:jc w:val="both"/>
      </w:pPr>
      <w:r>
        <w:rPr>
          <w:rFonts w:ascii="Palatino Linotype" w:cs="Palatino Linotype" w:eastAsia="Palatino Linotype" w:hAnsi="Palatino Linotype"/>
          <w:sz w:val="18"/>
          <w:szCs w:val="18"/>
        </w:rPr>
        <w:t xml:space="preserve">Singhania, M., Saini, N., Shri, C., &amp; Bhatia, S. (2024). Cross-country comparative trend analysis in ESG regulatory framework across developed and developing nations. Management of Environmental Quality: An International Journal, 35(1), 61–100. https://doi.org/10.1108/meq-02-2023-0056</w:t>
      </w:r>
    </w:p>
    <w:p>
      <w:pPr>
        <w:spacing w:after="140" w:before="0" w:line="260"/>
        <w:ind w:left="360" w:hanging="360"/>
        <w:jc w:val="both"/>
      </w:pPr>
      <w:r>
        <w:rPr>
          <w:rFonts w:ascii="Palatino Linotype" w:cs="Palatino Linotype" w:eastAsia="Palatino Linotype" w:hAnsi="Palatino Linotype"/>
          <w:sz w:val="18"/>
          <w:szCs w:val="18"/>
        </w:rPr>
        <w:t xml:space="preserve">SRMM. (2021). Sustainability reporting maturity model. Institute of Chartered Accountants of India. https://resource.cdn.icai.org/74106srsb59994.pdf</w:t>
      </w:r>
    </w:p>
    <w:p>
      <w:pPr>
        <w:spacing w:after="140" w:before="0" w:line="260"/>
        <w:ind w:left="360" w:hanging="360"/>
        <w:jc w:val="both"/>
      </w:pPr>
      <w:r>
        <w:rPr>
          <w:rFonts w:ascii="Palatino Linotype" w:cs="Palatino Linotype" w:eastAsia="Palatino Linotype" w:hAnsi="Palatino Linotype"/>
          <w:sz w:val="18"/>
          <w:szCs w:val="18"/>
        </w:rPr>
        <w:t xml:space="preserve">White, M. D., &amp; Marsh, E. E. (2006). Content analysis: A flexible methodology. Library Trends, 55(1), 22–45. https://doi.org/10.1353/lib.2006.0053</w:t>
      </w:r>
    </w:p>
    <w:p>
      <w:pPr>
        <w:spacing w:after="140" w:before="0" w:line="260"/>
        <w:ind w:left="360" w:hanging="360"/>
        <w:jc w:val="both"/>
      </w:pPr>
      <w:r>
        <w:rPr>
          <w:rFonts w:ascii="Palatino Linotype" w:cs="Palatino Linotype" w:eastAsia="Palatino Linotype" w:hAnsi="Palatino Linotype"/>
          <w:sz w:val="18"/>
          <w:szCs w:val="18"/>
        </w:rPr>
        <w:t xml:space="preserve">World Commission on Environment and Development. (1987). Our common future. United Nations.</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spacing w:after="0" w:before="0"/>
    </w:pPr>
    <w:r>
      <w:rPr>
        <w:rFonts w:ascii="Palatino Linotype" w:cs="Palatino Linotype" w:eastAsia="Palatino Linotype" w:hAnsi="Palatino Linotype"/>
        <w:i/>
        <w:iCs/>
        <w:sz w:val="18"/>
        <w:szCs w:val="18"/>
      </w:rPr>
      <w:t xml:space="preserve">Sustainability Review </w:t>
    </w:r>
    <w:r>
      <w:rPr>
        <w:rFonts w:ascii="Palatino Linotype" w:cs="Palatino Linotype" w:eastAsia="Palatino Linotype" w:hAnsi="Palatino Linotype"/>
        <w:b/>
        <w:bCs/>
        <w:i/>
        <w:iCs/>
        <w:sz w:val="18"/>
        <w:szCs w:val="18"/>
      </w:rPr>
      <w:t xml:space="preserve">2025</w:t>
    </w:r>
    <w:r>
      <w:rPr>
        <w:rFonts w:ascii="Palatino Linotype" w:cs="Palatino Linotype" w:eastAsia="Palatino Linotype" w:hAnsi="Palatino Linotype"/>
        <w:sz w:val="18"/>
        <w:szCs w:val="18"/>
      </w:rPr>
      <w:t xml:space="preserve">	</w:t>
    </w:r>
    <w:r>
      <w:rPr>
        <w:rFonts w:ascii="Palatino Linotype" w:cs="Palatino Linotype" w:eastAsia="Palatino Linotype" w:hAnsi="Palatino Linotype"/>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6c969e0b17a4041f7421a50169fc5417a550e0.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Reporting in Indian Power Companies</dc:title>
  <dc:creator>Sustainability Review</dc:creator>
  <cp:lastModifiedBy>Un-named</cp:lastModifiedBy>
  <cp:revision>1</cp:revision>
  <dcterms:created xsi:type="dcterms:W3CDTF">2026-05-15T05:49:33.390Z</dcterms:created>
  <dcterms:modified xsi:type="dcterms:W3CDTF">2026-05-15T05:49:33.405Z</dcterms:modified>
</cp:coreProperties>
</file>

<file path=docProps/custom.xml><?xml version="1.0" encoding="utf-8"?>
<Properties xmlns="http://schemas.openxmlformats.org/officeDocument/2006/custom-properties" xmlns:vt="http://schemas.openxmlformats.org/officeDocument/2006/docPropsVTypes"/>
</file>